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32"/>
        <w:gridCol w:w="486"/>
        <w:gridCol w:w="1549"/>
        <w:gridCol w:w="1024"/>
        <w:gridCol w:w="7"/>
        <w:gridCol w:w="1004"/>
        <w:gridCol w:w="2036"/>
        <w:gridCol w:w="2049"/>
        <w:gridCol w:w="17"/>
        <w:tblGridChange w:id="0">
          <w:tblGrid>
            <w:gridCol w:w="2032"/>
            <w:gridCol w:w="486"/>
            <w:gridCol w:w="1549"/>
            <w:gridCol w:w="1024"/>
            <w:gridCol w:w="7"/>
            <w:gridCol w:w="1004"/>
            <w:gridCol w:w="2036"/>
            <w:gridCol w:w="2049"/>
            <w:gridCol w:w="17"/>
          </w:tblGrid>
        </w:tblGridChange>
      </w:tblGrid>
      <w:tr>
        <w:tc>
          <w:tcPr>
            <w:gridSpan w:val="8"/>
            <w:shd w:fill="8eaadb"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E. APERÇU DU FORMULAIRE DE TRANSFERT DE DOSSIER</w:t>
            </w:r>
          </w:p>
        </w:tc>
      </w:tr>
      <w:tr>
        <w:tc>
          <w:tcPr>
            <w:gridSpan w:val="2"/>
            <w:tcBorders>
              <w:right w:color="000000" w:space="0" w:sz="0" w:val="nil"/>
            </w:tcBorders>
            <w:shd w:fill="d9d9d9" w:val="clear"/>
          </w:tcPr>
          <w:p w:rsidR="00000000" w:rsidDel="00000000" w:rsidP="00000000" w:rsidRDefault="00000000" w:rsidRPr="00000000" w14:paraId="0000000A">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7"/>
            <w:tcBorders>
              <w:left w:color="000000" w:space="0" w:sz="0" w:val="nil"/>
            </w:tcBorders>
            <w:shd w:fill="d9d9d9" w:val="clear"/>
          </w:tcPr>
          <w:p w:rsidR="00000000" w:rsidDel="00000000" w:rsidP="00000000" w:rsidRDefault="00000000" w:rsidRPr="00000000" w14:paraId="0000000C">
            <w:pPr>
              <w:spacing w:line="240" w:lineRule="auto"/>
              <w:jc w:val="left"/>
              <w:rPr>
                <w:sz w:val="20"/>
                <w:szCs w:val="20"/>
              </w:rPr>
            </w:pPr>
            <w:r w:rsidDel="00000000" w:rsidR="00000000" w:rsidRPr="00000000">
              <w:rPr>
                <w:sz w:val="20"/>
                <w:szCs w:val="20"/>
                <w:rtl w:val="0"/>
              </w:rPr>
              <w:t xml:space="preserve">À n’importe quelle étape du processus.</w:t>
            </w:r>
          </w:p>
        </w:tc>
      </w:tr>
      <w:tr>
        <w:tc>
          <w:tcPr>
            <w:gridSpan w:val="2"/>
            <w:tcBorders>
              <w:right w:color="000000" w:space="0" w:sz="0" w:val="nil"/>
            </w:tcBorders>
            <w:shd w:fill="d9d9d9" w:val="clear"/>
          </w:tcPr>
          <w:p w:rsidR="00000000" w:rsidDel="00000000" w:rsidP="00000000" w:rsidRDefault="00000000" w:rsidRPr="00000000" w14:paraId="00000013">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7"/>
            <w:tcBorders>
              <w:left w:color="000000" w:space="0" w:sz="0" w:val="nil"/>
            </w:tcBorders>
            <w:shd w:fill="d9d9d9" w:val="clear"/>
          </w:tcPr>
          <w:p w:rsidR="00000000" w:rsidDel="00000000" w:rsidP="00000000" w:rsidRDefault="00000000" w:rsidRPr="00000000" w14:paraId="00000015">
            <w:pPr>
              <w:spacing w:line="240" w:lineRule="auto"/>
              <w:jc w:val="left"/>
              <w:rPr>
                <w:sz w:val="20"/>
                <w:szCs w:val="20"/>
              </w:rPr>
            </w:pPr>
            <w:r w:rsidDel="00000000" w:rsidR="00000000" w:rsidRPr="00000000">
              <w:rPr>
                <w:sz w:val="20"/>
                <w:szCs w:val="20"/>
                <w:rtl w:val="0"/>
              </w:rPr>
              <w:t xml:space="preserve">Formulaire complémentaire</w:t>
            </w:r>
          </w:p>
        </w:tc>
      </w:tr>
      <w:tr>
        <w:tc>
          <w:tcPr>
            <w:gridSpan w:val="2"/>
            <w:tcBorders>
              <w:right w:color="000000" w:space="0" w:sz="0" w:val="nil"/>
            </w:tcBorders>
            <w:shd w:fill="d9d9d9" w:val="clear"/>
          </w:tcPr>
          <w:p w:rsidR="00000000" w:rsidDel="00000000" w:rsidP="00000000" w:rsidRDefault="00000000" w:rsidRPr="00000000" w14:paraId="0000001C">
            <w:pPr>
              <w:spacing w:line="240" w:lineRule="auto"/>
              <w:jc w:val="left"/>
              <w:rPr>
                <w:b w:val="1"/>
                <w:sz w:val="20"/>
                <w:szCs w:val="20"/>
              </w:rPr>
            </w:pPr>
            <w:r w:rsidDel="00000000" w:rsidR="00000000" w:rsidRPr="00000000">
              <w:rPr>
                <w:b w:val="1"/>
                <w:sz w:val="20"/>
                <w:szCs w:val="20"/>
                <w:rtl w:val="0"/>
              </w:rPr>
              <w:t xml:space="preserve">Quand le remplir</w:t>
            </w:r>
          </w:p>
        </w:tc>
        <w:tc>
          <w:tcPr>
            <w:gridSpan w:val="7"/>
            <w:tcBorders>
              <w:left w:color="000000" w:space="0" w:sz="0" w:val="nil"/>
            </w:tcBorders>
            <w:shd w:fill="d9d9d9" w:val="clear"/>
          </w:tcPr>
          <w:p w:rsidR="00000000" w:rsidDel="00000000" w:rsidP="00000000" w:rsidRDefault="00000000" w:rsidRPr="00000000" w14:paraId="0000001E">
            <w:pPr>
              <w:spacing w:line="240" w:lineRule="auto"/>
              <w:jc w:val="left"/>
              <w:rPr>
                <w:sz w:val="20"/>
                <w:szCs w:val="20"/>
              </w:rPr>
            </w:pPr>
            <w:r w:rsidDel="00000000" w:rsidR="00000000" w:rsidRPr="00000000">
              <w:rPr>
                <w:sz w:val="20"/>
                <w:szCs w:val="20"/>
                <w:rtl w:val="0"/>
              </w:rPr>
              <w:t xml:space="preserve">Dès que l’ensemble du dossier et la responsabilité de sa gestion sont transférés à une autre agence.</w:t>
            </w:r>
          </w:p>
        </w:tc>
      </w:tr>
      <w:tr>
        <w:tc>
          <w:tcPr>
            <w:gridSpan w:val="2"/>
            <w:tcBorders>
              <w:right w:color="000000" w:space="0" w:sz="0" w:val="nil"/>
            </w:tcBorders>
            <w:shd w:fill="d9d9d9" w:val="clear"/>
          </w:tcPr>
          <w:p w:rsidR="00000000" w:rsidDel="00000000" w:rsidP="00000000" w:rsidRDefault="00000000" w:rsidRPr="00000000" w14:paraId="00000025">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7"/>
            <w:tcBorders>
              <w:left w:color="000000" w:space="0" w:sz="0" w:val="nil"/>
            </w:tcBorders>
            <w:shd w:fill="d9d9d9" w:val="clear"/>
          </w:tcPr>
          <w:p w:rsidR="00000000" w:rsidDel="00000000" w:rsidP="00000000" w:rsidRDefault="00000000" w:rsidRPr="00000000" w14:paraId="00000027">
            <w:pPr>
              <w:spacing w:line="240" w:lineRule="auto"/>
              <w:jc w:val="left"/>
              <w:rPr>
                <w:sz w:val="20"/>
                <w:szCs w:val="20"/>
              </w:rPr>
            </w:pPr>
            <w:r w:rsidDel="00000000" w:rsidR="00000000" w:rsidRPr="00000000">
              <w:rPr>
                <w:sz w:val="20"/>
                <w:szCs w:val="20"/>
                <w:rtl w:val="0"/>
              </w:rPr>
              <w:t xml:space="preserve">Le gestionnaire de cas assigné au dossier, avec l’approbation de son superviseur.</w:t>
            </w:r>
          </w:p>
        </w:tc>
      </w:tr>
      <w:tr>
        <w:tc>
          <w:tcPr>
            <w:gridSpan w:val="2"/>
            <w:tcBorders>
              <w:bottom w:color="000000" w:space="0" w:sz="4" w:val="single"/>
              <w:right w:color="000000" w:space="0" w:sz="0" w:val="nil"/>
            </w:tcBorders>
            <w:shd w:fill="d9d9d9" w:val="clear"/>
          </w:tcPr>
          <w:p w:rsidR="00000000" w:rsidDel="00000000" w:rsidP="00000000" w:rsidRDefault="00000000" w:rsidRPr="00000000" w14:paraId="0000002E">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7"/>
            <w:tcBorders>
              <w:left w:color="000000" w:space="0" w:sz="0" w:val="nil"/>
              <w:bottom w:color="000000" w:space="0" w:sz="4" w:val="single"/>
            </w:tcBorders>
            <w:shd w:fill="d9d9d9" w:val="clear"/>
          </w:tcPr>
          <w:p w:rsidR="00000000" w:rsidDel="00000000" w:rsidP="00000000" w:rsidRDefault="00000000" w:rsidRPr="00000000" w14:paraId="00000030">
            <w:pPr>
              <w:spacing w:line="240" w:lineRule="auto"/>
              <w:jc w:val="left"/>
              <w:rPr>
                <w:sz w:val="20"/>
                <w:szCs w:val="20"/>
              </w:rPr>
            </w:pPr>
            <w:r w:rsidDel="00000000" w:rsidR="00000000" w:rsidRPr="00000000">
              <w:rPr>
                <w:sz w:val="20"/>
                <w:szCs w:val="20"/>
                <w:rtl w:val="0"/>
              </w:rPr>
              <w:t xml:space="preserve">Documenter l’information relative au transfert d’un cas à une autre agence de gestion de cas.</w:t>
            </w:r>
          </w:p>
        </w:tc>
      </w:tr>
      <w:tr>
        <w:tc>
          <w:tcPr>
            <w:gridSpan w:val="4"/>
            <w:tcBorders>
              <w:left w:color="000000" w:space="0" w:sz="0" w:val="nil"/>
              <w:right w:color="000000" w:space="0" w:sz="0" w:val="nil"/>
            </w:tcBorders>
            <w:shd w:fill="auto" w:val="clear"/>
          </w:tcPr>
          <w:p w:rsidR="00000000" w:rsidDel="00000000" w:rsidP="00000000" w:rsidRDefault="00000000" w:rsidRPr="00000000" w14:paraId="00000037">
            <w:pPr>
              <w:spacing w:line="240" w:lineRule="auto"/>
              <w:jc w:val="left"/>
              <w:rPr>
                <w:b w:val="1"/>
                <w:sz w:val="20"/>
                <w:szCs w:val="20"/>
              </w:rPr>
            </w:pPr>
            <w:r w:rsidDel="00000000" w:rsidR="00000000" w:rsidRPr="00000000">
              <w:rPr>
                <w:rtl w:val="0"/>
              </w:rPr>
            </w:r>
          </w:p>
        </w:tc>
        <w:tc>
          <w:tcPr>
            <w:gridSpan w:val="5"/>
            <w:tcBorders>
              <w:left w:color="000000" w:space="0" w:sz="0" w:val="nil"/>
              <w:right w:color="000000" w:space="0" w:sz="0" w:val="nil"/>
            </w:tcBorders>
            <w:shd w:fill="auto" w:val="clear"/>
          </w:tcPr>
          <w:p w:rsidR="00000000" w:rsidDel="00000000" w:rsidP="00000000" w:rsidRDefault="00000000" w:rsidRPr="00000000" w14:paraId="0000003B">
            <w:pPr>
              <w:spacing w:line="240" w:lineRule="auto"/>
              <w:jc w:val="left"/>
              <w:rPr>
                <w:b w:val="1"/>
                <w:sz w:val="20"/>
                <w:szCs w:val="20"/>
              </w:rPr>
            </w:pPr>
            <w:r w:rsidDel="00000000" w:rsidR="00000000" w:rsidRPr="00000000">
              <w:rPr>
                <w:rtl w:val="0"/>
              </w:rPr>
            </w:r>
          </w:p>
        </w:tc>
      </w:tr>
      <w:tr>
        <w:tc>
          <w:tcPr>
            <w:gridSpan w:val="8"/>
            <w:shd w:fill="8eaadb"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DE TRANSFERT DE DOSSIER</w:t>
            </w:r>
          </w:p>
        </w:tc>
      </w:tr>
      <w:tr>
        <w:tc>
          <w:tcPr>
            <w:gridSpan w:val="4"/>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transfert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dossier (de l’agence qui fait le transfert) :</w:t>
            </w:r>
          </w:p>
        </w:tc>
      </w:tr>
      <w:tr>
        <w:tc>
          <w:tcPr>
            <w:gridSpan w:val="4"/>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et/ou son tuteur ont-ils consenti au transfert?</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et/ou son tuteur ont-ils rencontré le nouveau gestionnaire de cas qui s’occupera du dossier avant la conclusion du transfert?</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061">
            <w:pPr>
              <w:spacing w:line="240" w:lineRule="auto"/>
              <w:jc w:val="left"/>
              <w:rPr>
                <w:b w:val="1"/>
                <w:sz w:val="20"/>
                <w:szCs w:val="20"/>
              </w:rPr>
            </w:pPr>
            <w:r w:rsidDel="00000000" w:rsidR="00000000" w:rsidRPr="00000000">
              <w:rPr>
                <w:b w:val="1"/>
                <w:sz w:val="20"/>
                <w:szCs w:val="20"/>
                <w:rtl w:val="0"/>
              </w:rPr>
              <w:t xml:space="preserve">1. TRANSFÉRÉ PAR</w:t>
            </w:r>
          </w:p>
        </w:tc>
        <w:tc>
          <w:tcPr>
            <w:gridSpan w:val="5"/>
            <w:shd w:fill="e7e6e6" w:val="clear"/>
          </w:tcPr>
          <w:p w:rsidR="00000000" w:rsidDel="00000000" w:rsidP="00000000" w:rsidRDefault="00000000" w:rsidRPr="00000000" w14:paraId="00000065">
            <w:pPr>
              <w:spacing w:line="240" w:lineRule="auto"/>
              <w:jc w:val="left"/>
              <w:rPr>
                <w:b w:val="1"/>
                <w:sz w:val="20"/>
                <w:szCs w:val="20"/>
              </w:rPr>
            </w:pPr>
            <w:r w:rsidDel="00000000" w:rsidR="00000000" w:rsidRPr="00000000">
              <w:rPr>
                <w:b w:val="1"/>
                <w:sz w:val="20"/>
                <w:szCs w:val="20"/>
                <w:rtl w:val="0"/>
              </w:rPr>
              <w:t xml:space="preserve">2. TRANSFÉRÉ À</w:t>
            </w:r>
          </w:p>
        </w:tc>
      </w:tr>
      <w:tr>
        <w:tc>
          <w:tcPr>
            <w:gridSpan w:val="4"/>
            <w:shd w:fill="auto"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w:t>
            </w:r>
          </w:p>
        </w:tc>
        <w:tc>
          <w:tcPr>
            <w:gridSpan w:val="5"/>
            <w:shd w:fill="auto" w:val="clea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w:t>
            </w:r>
          </w:p>
        </w:tc>
      </w:tr>
      <w:tr>
        <w:tc>
          <w:tcPr>
            <w:gridSpan w:val="4"/>
            <w:shd w:fill="auto" w:val="clea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Agence :</w:t>
            </w:r>
          </w:p>
        </w:tc>
        <w:tc>
          <w:tcPr>
            <w:gridSpan w:val="5"/>
            <w:shd w:fill="auto"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Agence :</w:t>
            </w:r>
          </w:p>
        </w:tc>
      </w:tr>
      <w:tr>
        <w:tc>
          <w:tcPr>
            <w:gridSpan w:val="4"/>
            <w:shd w:fill="auto" w:val="cle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Poste : </w:t>
            </w:r>
          </w:p>
        </w:tc>
        <w:tc>
          <w:tcPr>
            <w:gridSpan w:val="5"/>
            <w:shd w:fill="auto"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Poste :</w:t>
            </w:r>
          </w:p>
        </w:tc>
      </w:tr>
      <w:tr>
        <w:tc>
          <w:tcPr>
            <w:gridSpan w:val="4"/>
            <w:shd w:fill="auto" w:val="cle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w:t>
            </w:r>
          </w:p>
        </w:tc>
        <w:tc>
          <w:tcPr>
            <w:gridSpan w:val="5"/>
            <w:shd w:fill="auto"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w:t>
            </w:r>
          </w:p>
        </w:tc>
      </w:tr>
      <w:tr>
        <w:tc>
          <w:tcPr>
            <w:gridSpan w:val="4"/>
            <w:shd w:fill="auto" w:val="cle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Courriel</w:t>
            </w:r>
          </w:p>
        </w:tc>
        <w:tc>
          <w:tcPr>
            <w:gridSpan w:val="5"/>
            <w:shd w:fill="auto" w:val="cle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Courriel</w:t>
            </w:r>
          </w:p>
        </w:tc>
      </w:tr>
      <w:tr>
        <w:tc>
          <w:tcPr>
            <w:gridSpan w:val="4"/>
            <w:shd w:fill="auto" w:val="cle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w:t>
            </w:r>
          </w:p>
        </w:tc>
        <w:tc>
          <w:tcPr>
            <w:gridSpan w:val="5"/>
            <w:shd w:fill="auto" w:val="cle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w:t>
            </w:r>
          </w:p>
        </w:tc>
      </w:tr>
      <w:tr>
        <w:tc>
          <w:tcPr>
            <w:gridSpan w:val="9"/>
            <w:shd w:fill="e7e6e6" w:val="clear"/>
          </w:tcPr>
          <w:p w:rsidR="00000000" w:rsidDel="00000000" w:rsidP="00000000" w:rsidRDefault="00000000" w:rsidRPr="00000000" w14:paraId="000000A0">
            <w:pPr>
              <w:spacing w:line="240" w:lineRule="auto"/>
              <w:jc w:val="left"/>
              <w:rPr>
                <w:i w:val="1"/>
                <w:sz w:val="16"/>
                <w:szCs w:val="16"/>
              </w:rPr>
            </w:pPr>
            <w:r w:rsidDel="00000000" w:rsidR="00000000" w:rsidRPr="00000000">
              <w:rPr>
                <w:b w:val="1"/>
                <w:sz w:val="20"/>
                <w:szCs w:val="20"/>
                <w:rtl w:val="0"/>
              </w:rPr>
              <w:t xml:space="preserve">3. INFORMATION CLÉ SUR LE DOSSIER</w:t>
            </w:r>
            <w:r w:rsidDel="00000000" w:rsidR="00000000" w:rsidRPr="00000000">
              <w:rPr>
                <w:rtl w:val="0"/>
              </w:rPr>
            </w:r>
          </w:p>
        </w:tc>
      </w:tr>
      <w:tr>
        <w:tc>
          <w:tcPr>
            <w:gridSpan w:val="9"/>
            <w:shd w:fill="auto" w:val="clear"/>
          </w:tcPr>
          <w:p w:rsidR="00000000" w:rsidDel="00000000" w:rsidP="00000000" w:rsidRDefault="00000000" w:rsidRPr="00000000" w14:paraId="000000A9">
            <w:pPr>
              <w:spacing w:line="240" w:lineRule="auto"/>
              <w:jc w:val="left"/>
              <w:rPr>
                <w:b w:val="1"/>
                <w:sz w:val="20"/>
                <w:szCs w:val="20"/>
              </w:rPr>
            </w:pPr>
            <w:r w:rsidDel="00000000" w:rsidR="00000000" w:rsidRPr="00000000">
              <w:rPr>
                <w:b w:val="1"/>
                <w:sz w:val="20"/>
                <w:szCs w:val="20"/>
                <w:rtl w:val="0"/>
              </w:rPr>
              <w:t xml:space="preserve">Date d’ouverture du dossier : </w:t>
            </w:r>
            <w:r w:rsidDel="00000000" w:rsidR="00000000" w:rsidRPr="00000000">
              <w:rPr>
                <w:i w:val="1"/>
                <w:sz w:val="16"/>
                <w:szCs w:val="16"/>
                <w:rtl w:val="0"/>
              </w:rPr>
              <w:t xml:space="preserve">jj/mm/aa</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Niveau de risque actuel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Élevé</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Faible</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Nul</w:t>
            </w:r>
            <w:r w:rsidDel="00000000" w:rsidR="00000000" w:rsidRPr="00000000">
              <w:rPr>
                <w:rtl w:val="0"/>
              </w:rPr>
            </w:r>
          </w:p>
        </w:tc>
        <w:tc>
          <w:tcPr>
            <w:gridSpan w:val="4"/>
            <w:tcBorders>
              <w:bottom w:color="000000" w:space="0" w:sz="4" w:val="single"/>
            </w:tcBorders>
            <w:shd w:fill="auto" w:val="cle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Étape actuelle de la gestion du cas</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Identification et enregistrement</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Évaluation</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Planification de la prise en charge</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Mise en œuvre du plan de prise en charge</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Suivi et revue</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tcBorders>
              <w:bottom w:color="000000" w:space="0" w:sz="0" w:val="nil"/>
              <w:right w:color="000000" w:space="0" w:sz="0" w:val="nil"/>
            </w:tcBorders>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Préoccupations actuelles en matière de protection :</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r w:rsidDel="00000000" w:rsidR="00000000" w:rsidRPr="00000000">
              <w:rPr>
                <w:rtl w:val="0"/>
              </w:rPr>
            </w:r>
          </w:p>
        </w:tc>
        <w:tc>
          <w:tcPr>
            <w:gridSpan w:val="4"/>
            <w:tcBorders>
              <w:left w:color="000000" w:space="0" w:sz="0" w:val="nil"/>
              <w:bottom w:color="000000" w:space="0" w:sz="0" w:val="nil"/>
            </w:tcBorders>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tcBorders>
              <w:top w:color="000000" w:space="0" w:sz="0" w:val="nil"/>
              <w:right w:color="000000" w:space="0" w:sz="0" w:val="nil"/>
            </w:tcBorders>
            <w:shd w:fill="auto" w:val="clea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physiques</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sexuels</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affectifs et psychologiques</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Négligence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Abandon</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des enfants (pas les pires formes)</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dangereux</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Exploitation sexuelle</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Esclavage, vente, enlèvement, traite et travail forcé</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Démêlés avec la loi</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Association avec des forces ou des groupes armés</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Détention ou privation de liberté</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Problème de santé grave</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 de vision, même s’il porte des lunettes)</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d’audition, même s’il utilise une aide auditive)</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moteurs : difficulté à marcher ou à utiliser certaines parties de son corps, p. ex.)</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de mémoire et de concentration)</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Manque d’autonomie comparativement aux enfants du même âge (difficulté à s’habiller ou à manger de façon autonome, p. ex.)</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Difficulté à communiquer </w:t>
            </w:r>
            <w:r w:rsidDel="00000000" w:rsidR="00000000" w:rsidRPr="00000000">
              <w:rPr>
                <w:rtl w:val="0"/>
              </w:rPr>
            </w:r>
          </w:p>
        </w:tc>
        <w:tc>
          <w:tcPr>
            <w:gridSpan w:val="4"/>
            <w:tcBorders>
              <w:top w:color="000000" w:space="0" w:sz="0" w:val="nil"/>
              <w:left w:color="000000" w:space="0" w:sz="0" w:val="nil"/>
            </w:tcBorders>
            <w:shd w:fill="auto" w:val="clea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accompagné</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Séparé</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Orphelin </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Détresse psychosociale</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Troubles mentaux</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Toxicomanie et addiction</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Appartenance à un groupe discriminé ou marginalisé</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Absence de papiers officiels ou d’acte de naissance</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Enfant marié</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Mutilations génitales féminines (MGF)</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Grossesse ou enfants</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Privation de ressources, de possibilités ou de services</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Situation de prise en charge extrêmement vulnérables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(&gt;8 enfants dans la maisonnée, adulte responsable toxicomane, un seul adulte responsable très vulnérable, p. ex.)</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Survivant de blessures dues à des explosifs et munitions (EM)</w:t>
            </w: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highlight w:val="white"/>
                <w:u w:val="none"/>
                <w:vertAlign w:val="baseline"/>
                <w:rtl w:val="0"/>
              </w:rPr>
              <w:t xml:space="preserve">Contextualisez</w:t>
            </w:r>
            <w:r w:rsidDel="00000000" w:rsidR="00000000" w:rsidRPr="00000000">
              <w:rPr>
                <w:rtl w:val="0"/>
              </w:rPr>
            </w:r>
          </w:p>
        </w:tc>
      </w:tr>
      <w:tr>
        <w:tc>
          <w:tcPr>
            <w:gridSpan w:val="9"/>
            <w:shd w:fill="auto" w:val="clear"/>
          </w:tcPr>
          <w:p w:rsidR="00000000" w:rsidDel="00000000" w:rsidP="00000000" w:rsidRDefault="00000000" w:rsidRPr="00000000" w14:paraId="000000FD">
            <w:pPr>
              <w:spacing w:line="240" w:lineRule="auto"/>
              <w:jc w:val="left"/>
              <w:rPr>
                <w:i w:val="1"/>
                <w:sz w:val="16"/>
                <w:szCs w:val="16"/>
              </w:rPr>
            </w:pPr>
            <w:r w:rsidDel="00000000" w:rsidR="00000000" w:rsidRPr="00000000">
              <w:rPr>
                <w:b w:val="1"/>
                <w:sz w:val="20"/>
                <w:szCs w:val="20"/>
                <w:rtl w:val="0"/>
              </w:rPr>
              <w:t xml:space="preserve">Bref résumé : </w:t>
            </w:r>
            <w:r w:rsidDel="00000000" w:rsidR="00000000" w:rsidRPr="00000000">
              <w:rPr>
                <w:i w:val="1"/>
                <w:sz w:val="16"/>
                <w:szCs w:val="16"/>
                <w:rtl w:val="0"/>
              </w:rPr>
              <w:t xml:space="preserve">Historique et état actuel du dossier, y compris les derniers services offerts, les dernières mesures prises et les services et mesures encore en cours.</w:t>
            </w:r>
          </w:p>
          <w:p w:rsidR="00000000" w:rsidDel="00000000" w:rsidP="00000000" w:rsidRDefault="00000000" w:rsidRPr="00000000" w14:paraId="000000FE">
            <w:pPr>
              <w:spacing w:line="240" w:lineRule="auto"/>
              <w:jc w:val="left"/>
              <w:rPr>
                <w:i w:val="1"/>
                <w:sz w:val="16"/>
                <w:szCs w:val="16"/>
              </w:rPr>
            </w:pPr>
            <w:r w:rsidDel="00000000" w:rsidR="00000000" w:rsidRPr="00000000">
              <w:rPr>
                <w:rtl w:val="0"/>
              </w:rPr>
            </w:r>
          </w:p>
          <w:p w:rsidR="00000000" w:rsidDel="00000000" w:rsidP="00000000" w:rsidRDefault="00000000" w:rsidRPr="00000000" w14:paraId="000000F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00">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01">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02">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03">
            <w:pPr>
              <w:spacing w:line="240" w:lineRule="auto"/>
              <w:jc w:val="left"/>
              <w:rPr>
                <w:b w:val="1"/>
                <w:sz w:val="20"/>
                <w:szCs w:val="20"/>
              </w:rPr>
            </w:pPr>
            <w:r w:rsidDel="00000000" w:rsidR="00000000" w:rsidRPr="00000000">
              <w:rPr>
                <w:rtl w:val="0"/>
              </w:rPr>
            </w:r>
          </w:p>
        </w:tc>
      </w:tr>
      <w:tr>
        <w:tc>
          <w:tcPr>
            <w:gridSpan w:val="9"/>
            <w:shd w:fill="e7e6e6" w:val="clear"/>
          </w:tcPr>
          <w:p w:rsidR="00000000" w:rsidDel="00000000" w:rsidP="00000000" w:rsidRDefault="00000000" w:rsidRPr="00000000" w14:paraId="0000010C">
            <w:pPr>
              <w:spacing w:line="240" w:lineRule="auto"/>
              <w:jc w:val="left"/>
              <w:rPr>
                <w:i w:val="1"/>
                <w:sz w:val="16"/>
                <w:szCs w:val="16"/>
              </w:rPr>
            </w:pPr>
            <w:r w:rsidDel="00000000" w:rsidR="00000000" w:rsidRPr="00000000">
              <w:rPr>
                <w:b w:val="1"/>
                <w:sz w:val="20"/>
                <w:szCs w:val="20"/>
                <w:rtl w:val="0"/>
              </w:rPr>
              <w:t xml:space="preserve">4. MOTIFS DU TRANSFERT </w:t>
            </w:r>
            <w:r w:rsidDel="00000000" w:rsidR="00000000" w:rsidRPr="00000000">
              <w:rPr>
                <w:rFonts w:ascii="Calibri" w:cs="Calibri" w:eastAsia="Calibri" w:hAnsi="Calibri"/>
                <w:i w:val="1"/>
                <w:sz w:val="16"/>
                <w:szCs w:val="16"/>
                <w:rtl w:val="0"/>
              </w:rPr>
              <w:t xml:space="preserve">Les transferts de dossiers doivent être évités, sauf en cas de nécessité absolue. Si vous envisagez le transfert d’un dossier, vous devez avoir une bonne raison qui justifie cette décision et prouver que l’enfant recevra de meilleurs services.</w:t>
            </w:r>
            <w:r w:rsidDel="00000000" w:rsidR="00000000" w:rsidRPr="00000000">
              <w:rPr>
                <w:rtl w:val="0"/>
              </w:rPr>
            </w:r>
          </w:p>
        </w:tc>
      </w:tr>
      <w:tr>
        <w:tc>
          <w:tcPr>
            <w:gridSpan w:val="9"/>
            <w:shd w:fill="auto" w:val="clea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Cochez les motifs du transfert :</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Une autre agence est mieux placée pour gérer le dossier en raison des services spécialisés requis par l’enfant et sa famille</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déménage dans un endroit où l’agence qui reçoit le transfert est présente</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Des motifs organisationnels justifient le transfert (une agence quitte la région ou met fin à ses programmes, p. ex.)</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 gestionnaire de cas assigné au dossier n’est plus en mesure de s’en occuper</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vient d’avoir 18 ans et l’agence n’est pas en mesure d’offrir des services aux personnes de 18 ans et plus</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En cas de déménagement de l’enfant</w:t>
            </w:r>
          </w:p>
        </w:tc>
      </w:tr>
      <w:tr>
        <w:tc>
          <w:tcPr>
            <w:gridSpan w:val="8"/>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du nouveau lieu de résidence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shd w:fill="e7e6e6" w:val="clear"/>
          </w:tcPr>
          <w:p w:rsidR="00000000" w:rsidDel="00000000" w:rsidP="00000000" w:rsidRDefault="00000000" w:rsidRPr="00000000" w14:paraId="00000141">
            <w:pPr>
              <w:spacing w:line="240" w:lineRule="auto"/>
              <w:jc w:val="left"/>
              <w:rPr>
                <w:i w:val="1"/>
                <w:sz w:val="16"/>
                <w:szCs w:val="16"/>
              </w:rPr>
            </w:pPr>
            <w:r w:rsidDel="00000000" w:rsidR="00000000" w:rsidRPr="00000000">
              <w:rPr>
                <w:b w:val="1"/>
                <w:sz w:val="20"/>
                <w:szCs w:val="20"/>
                <w:rtl w:val="0"/>
              </w:rPr>
              <w:t xml:space="preserve">5. ARRANGEMENTS PRÉVUS POUR FAVORISER LA RÉUSSITE DU TRANSFERT DU DOSSIER </w:t>
            </w:r>
            <w:r w:rsidDel="00000000" w:rsidR="00000000" w:rsidRPr="00000000">
              <w:rPr>
                <w:rtl w:val="0"/>
              </w:rPr>
            </w:r>
          </w:p>
        </w:tc>
      </w:tr>
      <w:tr>
        <w:tc>
          <w:tcPr>
            <w:gridSpan w:val="8"/>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Décrivez la procédure de transfert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Donnez des détails concernant les rencontres tenues pour discuter du transfert du dossier : rencontres entre l’ancien et le nouveau gestionnaire de cas, entre l’enfant et les deux travailleurs sociaux, entre les deux travailleurs sociaux et les tuteurs, par exemple.</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right w:color="000000" w:space="0" w:sz="0" w:val="nil"/>
            </w:tcBorders>
            <w:shd w:fill="auto" w:val="clear"/>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Transfert du contenu du dossier :</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Page couverture du dossier</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d’accord et de consentement</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d’enregistrement et d’évaluation initiale</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complémentaire d’enregistrement et d’évaluation initiale des ESNA</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localisation d’enfants disparus</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d’évaluation</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d’évaluation de l’intérêt supérieur (EIS) de l’UNHCR</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Plan de prise en charge</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référencement</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sur les services offerts</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Historique des mesures de localisation</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vérification des liens (point de vue de l’adulte)</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vérification des liens (point de vue de l’enfant)</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4"/>
            <w:tcBorders>
              <w:left w:color="000000" w:space="0" w:sz="0" w:val="nil"/>
            </w:tcBorders>
            <w:shd w:fill="auto" w:val="clear"/>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réunification familiale</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suivi</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d’examen</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clôture de dossier</w:t>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transfert de dossier</w:t>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feedback à l’intention du tuteur</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Formulation de feedback à l’intention de l’enfant</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réouverture de dossier </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Formulaire de notes au dossier</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Rapport de conférence d’intervention</w:t>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Rapport de détermination de l’intérêt supérieur de l’enfant (DISE) de l’UNHCR</w:t>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Liste de vérification des dossiers</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Types de documents transférés :</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Documents originaux</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Copies de documents</w:t>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shd w:fill="e7e6e6" w:val="clear"/>
          </w:tcPr>
          <w:p w:rsidR="00000000" w:rsidDel="00000000" w:rsidP="00000000" w:rsidRDefault="00000000" w:rsidRPr="00000000" w14:paraId="00000186">
            <w:pPr>
              <w:spacing w:line="240" w:lineRule="auto"/>
              <w:jc w:val="left"/>
              <w:rPr>
                <w:i w:val="1"/>
                <w:sz w:val="16"/>
                <w:szCs w:val="16"/>
              </w:rPr>
            </w:pPr>
            <w:r w:rsidDel="00000000" w:rsidR="00000000" w:rsidRPr="00000000">
              <w:rPr>
                <w:b w:val="1"/>
                <w:sz w:val="20"/>
                <w:szCs w:val="20"/>
                <w:rtl w:val="0"/>
              </w:rPr>
              <w:t xml:space="preserve">5. APPROBATION ET ACCORDS </w:t>
            </w:r>
            <w:r w:rsidDel="00000000" w:rsidR="00000000" w:rsidRPr="00000000">
              <w:rPr>
                <w:rtl w:val="0"/>
              </w:rPr>
            </w:r>
          </w:p>
        </w:tc>
      </w:tr>
      <w:tr>
        <w:tc>
          <w:tcPr>
            <w:shd w:fill="e7e6e6" w:val="clea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e7e6e6" w:val="clear"/>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w:t>
            </w:r>
          </w:p>
        </w:tc>
        <w:tc>
          <w:tcPr>
            <w:gridSpan w:val="3"/>
            <w:shd w:fill="e7e6e6" w:val="clear"/>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Agence</w:t>
            </w:r>
          </w:p>
        </w:tc>
        <w:tc>
          <w:tcPr>
            <w:shd w:fill="e7e6e6" w:val="clea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Coordonnées</w:t>
            </w:r>
          </w:p>
        </w:tc>
        <w:tc>
          <w:tcPr>
            <w:shd w:fill="e7e6e6" w:val="clea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Signature</w:t>
            </w:r>
          </w:p>
        </w:tc>
      </w:tr>
      <w:tr>
        <w:tc>
          <w:tcPr>
            <w:shd w:fill="e7e6e6" w:val="clea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Enfant</w:t>
            </w:r>
          </w:p>
        </w:tc>
        <w:tc>
          <w:tcPr>
            <w:gridSpan w:val="2"/>
            <w:shd w:fill="auto" w:val="clear"/>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Tuteur</w:t>
            </w:r>
          </w:p>
        </w:tc>
        <w:tc>
          <w:tcPr>
            <w:gridSpan w:val="2"/>
            <w:shd w:fill="auto" w:val="clea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Ancien gestionnaire de cas</w:t>
            </w:r>
          </w:p>
        </w:tc>
        <w:tc>
          <w:tcPr>
            <w:gridSpan w:val="2"/>
            <w:shd w:fill="auto" w:val="clear"/>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Nouveau gestionnaire de cas</w:t>
            </w:r>
          </w:p>
        </w:tc>
        <w:tc>
          <w:tcPr>
            <w:gridSpan w:val="2"/>
            <w:shd w:fill="auto" w:val="clear"/>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Ancien superviseur</w:t>
            </w:r>
          </w:p>
        </w:tc>
        <w:tc>
          <w:tcPr>
            <w:gridSpan w:val="2"/>
            <w:shd w:fill="auto" w:val="clea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Nouveau superviseur</w:t>
            </w:r>
          </w:p>
        </w:tc>
        <w:tc>
          <w:tcPr>
            <w:gridSpan w:val="2"/>
            <w:shd w:fill="auto" w:val="clea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C6">
      <w:pPr>
        <w:spacing w:after="0" w:line="240" w:lineRule="auto"/>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7">
      <w:pPr>
        <w:spacing w:after="0" w:line="240" w:lineRule="auto"/>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8">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3</w:t>
    </w:r>
  </w:p>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de transfert de cas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E37689"/>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E37689"/>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VFybPH+u9jgbCes4PTZy13FSfA==">AMUW2mWwawev33KHHS3H/QwV37ognjmaHdPOfz1VU+TPNxtu4LrCaHm8IZTLZDgzbyztjK0Br/qm27ONou8q2bP/xacKA9kW09l3VQmM/xz8aItAL15T1YuL9VgTLRVA2wqJD6T+CQVO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2019-07-11T02:25:00Z</dcterms:created>
  <dc:creator>Microsoft Office User</dc:creator>
</cp:coreProperties>
</file>